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jpe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42"/>
        <w:shd w:val="clear" w:fill="auto"/>
        <w:tabs>
          <w:tab w:val="clear" w:pos="708"/>
          <w:tab w:val="left" w:pos="3841" w:leader="underscore"/>
        </w:tabs>
        <w:spacing w:lineRule="auto" w:line="240" w:before="0" w:after="0"/>
        <w:rPr>
          <w:rFonts w:cs="Times New Roman"/>
          <w:b w:val="false"/>
          <w:bCs w:val="false"/>
          <w:color w:val="000000"/>
          <w:sz w:val="24"/>
          <w:szCs w:val="24"/>
          <w:lang w:val="ru-RU" w:eastAsia="ru-RU" w:bidi="ru-RU"/>
        </w:rPr>
      </w:pPr>
      <w:r>
        <w:rPr>
          <w:rFonts w:cs="Times New Roman"/>
          <w:b w:val="false"/>
          <w:bCs w:val="false"/>
          <w:color w:val="000000"/>
          <w:sz w:val="24"/>
          <w:szCs w:val="24"/>
          <w:lang w:val="ru-RU" w:eastAsia="ru-RU" w:bidi="ru-RU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3020695</wp:posOffset>
            </wp:positionH>
            <wp:positionV relativeFrom="paragraph">
              <wp:posOffset>82550</wp:posOffset>
            </wp:positionV>
            <wp:extent cx="556895" cy="649605"/>
            <wp:effectExtent l="0" t="0" r="0" b="0"/>
            <wp:wrapSquare wrapText="bothSides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9" t="-221" r="-259" b="-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2"/>
        <w:shd w:val="clear" w:fill="auto"/>
        <w:tabs>
          <w:tab w:val="clear" w:pos="708"/>
          <w:tab w:val="left" w:pos="3841" w:leader="underscore"/>
        </w:tabs>
        <w:spacing w:lineRule="auto" w:line="240" w:before="0" w:after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                                                               </w:t>
      </w:r>
    </w:p>
    <w:p>
      <w:pPr>
        <w:pStyle w:val="42"/>
        <w:shd w:val="clear" w:fill="auto"/>
        <w:tabs>
          <w:tab w:val="clear" w:pos="708"/>
          <w:tab w:val="left" w:pos="3841" w:leader="underscore"/>
        </w:tabs>
        <w:spacing w:lineRule="auto" w:line="240" w:before="0" w:after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</w:r>
    </w:p>
    <w:p>
      <w:pPr>
        <w:pStyle w:val="42"/>
        <w:shd w:val="clear" w:fill="auto"/>
        <w:tabs>
          <w:tab w:val="clear" w:pos="708"/>
          <w:tab w:val="left" w:pos="3841" w:leader="underscore"/>
        </w:tabs>
        <w:spacing w:lineRule="auto" w:line="240" w:before="0" w:after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</w:r>
    </w:p>
    <w:p>
      <w:pPr>
        <w:pStyle w:val="42"/>
        <w:shd w:val="clear" w:fill="auto"/>
        <w:tabs>
          <w:tab w:val="clear" w:pos="708"/>
          <w:tab w:val="left" w:pos="3841" w:leader="underscore"/>
        </w:tabs>
        <w:spacing w:lineRule="auto" w:line="240" w:before="0" w:after="0"/>
        <w:jc w:val="center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42"/>
        <w:shd w:val="clear" w:fill="auto"/>
        <w:tabs>
          <w:tab w:val="clear" w:pos="708"/>
          <w:tab w:val="left" w:pos="3841" w:leader="underscore"/>
        </w:tabs>
        <w:spacing w:lineRule="auto" w:line="240" w:before="0" w:after="0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РЕШЕНИЕ</w:t>
      </w:r>
    </w:p>
    <w:p>
      <w:pPr>
        <w:pStyle w:val="42"/>
        <w:shd w:val="clear" w:fill="auto"/>
        <w:tabs>
          <w:tab w:val="clear" w:pos="708"/>
          <w:tab w:val="left" w:pos="3841" w:leader="underscore"/>
        </w:tabs>
        <w:spacing w:lineRule="auto" w:line="240" w:before="0" w:after="0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АНТОНОВСКОГО МУНИЦИПАЛЬНОГО ОБРАЗОВАНИЯ</w:t>
      </w:r>
    </w:p>
    <w:p>
      <w:pPr>
        <w:pStyle w:val="42"/>
        <w:shd w:val="clear" w:fill="auto"/>
        <w:spacing w:lineRule="auto" w:line="240" w:before="0" w:after="0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ЕРШОВСКОГО РАЙОНА САРАТОВСКОЙ ОБЛАСТИ</w:t>
      </w:r>
    </w:p>
    <w:p>
      <w:pPr>
        <w:pStyle w:val="42"/>
        <w:shd w:val="clear" w:fill="auto"/>
        <w:spacing w:lineRule="auto" w:line="240" w:before="0" w:after="0"/>
        <w:jc w:val="center"/>
        <w:rPr/>
      </w:pPr>
      <w:r>
        <w:rPr/>
        <w:t>(пятого созыва)</w:t>
      </w:r>
    </w:p>
    <w:p>
      <w:pPr>
        <w:pStyle w:val="42"/>
        <w:shd w:val="clear" w:fill="auto"/>
        <w:spacing w:lineRule="auto" w:line="240" w:before="0" w:after="0"/>
        <w:jc w:val="center"/>
        <w:rPr/>
      </w:pPr>
      <w:r>
        <w:rPr/>
        <w:t>_____________________________________________________________________________________</w:t>
      </w:r>
    </w:p>
    <w:p>
      <w:pPr>
        <w:pStyle w:val="42"/>
        <w:shd w:val="clear" w:fill="auto"/>
        <w:spacing w:lineRule="auto" w:line="240" w:before="0" w:after="0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РЕШЕНИЕ</w:t>
      </w:r>
    </w:p>
    <w:p>
      <w:pPr>
        <w:pStyle w:val="42"/>
        <w:shd w:val="clear" w:fill="auto"/>
        <w:spacing w:lineRule="auto" w:line="240" w:before="0" w:after="0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</w:r>
    </w:p>
    <w:p>
      <w:pPr>
        <w:pStyle w:val="42"/>
        <w:shd w:val="clear" w:fill="auto"/>
        <w:tabs>
          <w:tab w:val="clear" w:pos="708"/>
          <w:tab w:val="left" w:pos="142" w:leader="none"/>
          <w:tab w:val="left" w:pos="7513" w:leader="none"/>
        </w:tabs>
        <w:spacing w:lineRule="auto" w:line="240" w:before="0" w:after="0"/>
        <w:ind w:left="142" w:right="0" w:firstLine="142"/>
        <w:jc w:val="left"/>
        <w:rPr>
          <w:color w:val="000000"/>
          <w:sz w:val="24"/>
          <w:szCs w:val="24"/>
          <w:lang w:bidi="ru-RU"/>
        </w:rPr>
      </w:pPr>
      <w:r>
        <w:rPr>
          <w:color w:val="000000"/>
          <w:sz w:val="28"/>
          <w:szCs w:val="28"/>
          <w:lang w:bidi="ru-RU"/>
        </w:rPr>
        <w:t>от  20.03.2026  года</w:t>
      </w:r>
      <w:r>
        <w:rPr>
          <w:color w:val="000000"/>
          <w:sz w:val="24"/>
          <w:szCs w:val="24"/>
          <w:lang w:bidi="ru-RU"/>
        </w:rPr>
        <w:tab/>
      </w:r>
      <w:r>
        <w:rPr>
          <w:color w:val="000000"/>
          <w:sz w:val="28"/>
          <w:szCs w:val="28"/>
          <w:lang w:bidi="ru-RU"/>
        </w:rPr>
        <w:t>№  62-121</w:t>
      </w:r>
    </w:p>
    <w:p>
      <w:pPr>
        <w:pStyle w:val="Style20"/>
        <w:widowControl/>
        <w:ind w:left="0" w:right="0" w:hanging="0"/>
        <w:jc w:val="left"/>
        <w:rPr>
          <w:rFonts w:ascii="Times New Roman" w:hAnsi="Times New Roman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widowControl/>
        <w:tabs>
          <w:tab w:val="clear" w:pos="708"/>
          <w:tab w:val="left" w:pos="1278" w:leader="none"/>
        </w:tabs>
        <w:suppressAutoHyphens w:val="true"/>
        <w:bidi w:val="0"/>
        <w:spacing w:lineRule="auto" w:line="240" w:before="0" w:after="0"/>
        <w:ind w:left="0" w:right="2268" w:hanging="0"/>
        <w:jc w:val="left"/>
        <w:rPr/>
      </w:pPr>
      <w:r>
        <w:rPr>
          <w:rFonts w:ascii="Times New Roman" w:hAnsi="Times New Roman"/>
          <w:color w:val="000000"/>
          <w:sz w:val="28"/>
        </w:rPr>
        <w:t>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 или балло- гектарах, в виде простой дроби</w:t>
      </w:r>
    </w:p>
    <w:p>
      <w:pPr>
        <w:pStyle w:val="Normal"/>
        <w:widowControl/>
        <w:tabs>
          <w:tab w:val="clear" w:pos="708"/>
          <w:tab w:val="left" w:pos="1278" w:leader="none"/>
        </w:tabs>
        <w:ind w:left="0" w:right="0" w:firstLine="709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Во исполнение Федерального закона от 14.07.2022 № 316-ФЗ, которым были внесены изменения в ст.19.1 Федерального закона РФ от 24.07.2002 г.№ 101 -ФЗ «Об обороте земель  сельскохозяйственного назначения»,  </w:t>
      </w:r>
      <w:r>
        <w:rPr>
          <w:rFonts w:ascii="Tinos" w:hAnsi="Tinos"/>
          <w:color w:val="000000"/>
          <w:sz w:val="28"/>
        </w:rPr>
        <w:t>руководствуясь Федеральным законом от 06.10.2003г. № 131- ФЗ                         "Об общих принципах организации местного самоуправления в </w:t>
      </w:r>
      <w:bookmarkStart w:id="0" w:name="l6"/>
      <w:bookmarkEnd w:id="0"/>
      <w:r>
        <w:rPr>
          <w:rFonts w:ascii="Tinos" w:hAnsi="Tinos"/>
          <w:color w:val="000000"/>
          <w:sz w:val="28"/>
        </w:rPr>
        <w:t xml:space="preserve">Российской Федерации",  Постановлением Правительства Российской Федерации от 16.06.2020 № 1475 «Об утверждении Правил определения размеров земельных долей, выраженных в гектарах или балло-гектарах, в виде простой правильной дроби», </w:t>
      </w:r>
      <w:r>
        <w:rPr>
          <w:rFonts w:ascii="Tinos" w:hAnsi="Tinos"/>
          <w:sz w:val="28"/>
        </w:rPr>
        <w:t xml:space="preserve">Уставом </w:t>
      </w:r>
      <w:r>
        <w:rPr>
          <w:rFonts w:ascii="Tinos" w:hAnsi="Tinos"/>
          <w:color w:val="000000"/>
          <w:sz w:val="28"/>
        </w:rPr>
        <w:t xml:space="preserve">Антоновского муниципального образования   Ершовского района Саратовской области, на основании данных, указанных в выписке из Единого государственного реестра недвижимости об основных характеристиках зарегистрированных правах на объект недвижимости от 18.09.2025  г.и  Совет антоновского муниципального образования </w:t>
      </w:r>
    </w:p>
    <w:p>
      <w:pPr>
        <w:pStyle w:val="Normal"/>
        <w:widowControl/>
        <w:ind w:left="0" w:right="0" w:hanging="0"/>
        <w:rPr>
          <w:rFonts w:ascii="Tinos" w:hAnsi="Tinos"/>
        </w:rPr>
      </w:pPr>
      <w:r>
        <w:rPr>
          <w:rFonts w:ascii="Tinos" w:hAnsi="Tinos"/>
          <w:color w:val="000000"/>
          <w:sz w:val="28"/>
        </w:rPr>
        <w:t>РЕШИЛ:</w:t>
      </w:r>
    </w:p>
    <w:p>
      <w:pPr>
        <w:pStyle w:val="Normal"/>
        <w:rPr>
          <w:rFonts w:ascii="Tinos" w:hAnsi="Tinos"/>
          <w:color w:val="000000"/>
          <w:sz w:val="28"/>
        </w:rPr>
      </w:pPr>
      <w:r>
        <w:rPr>
          <w:rFonts w:ascii="Tinos" w:hAnsi="Tinos"/>
          <w:color w:val="000000"/>
          <w:sz w:val="28"/>
        </w:rPr>
      </w:r>
    </w:p>
    <w:p>
      <w:pPr>
        <w:pStyle w:val="Normal"/>
        <w:widowControl/>
        <w:ind w:left="0" w:right="0" w:hanging="0"/>
        <w:rPr>
          <w:rFonts w:ascii="Tinos" w:hAnsi="Tinos"/>
        </w:rPr>
      </w:pPr>
      <w:r>
        <w:rPr>
          <w:rFonts w:ascii="Tinos" w:hAnsi="Tinos"/>
          <w:color w:val="000000"/>
          <w:sz w:val="28"/>
        </w:rPr>
        <w:t xml:space="preserve">       </w:t>
      </w:r>
      <w:r>
        <w:rPr>
          <w:rFonts w:ascii="Tinos" w:hAnsi="Tinos"/>
          <w:color w:val="000000"/>
          <w:sz w:val="28"/>
        </w:rPr>
        <w:t>1.  Утвердить результаты определения размеров долей в праве общей долевой собственности на земельный участок, кадастровый номер 64:13:000000:3319   ,  местоположение: Российская Федерация, Саратовская область, Ершовский район, Антоновское МО, АО «Семено-Полтавское», из земель сельскохозяйственного назначения, выраженных в гектарах, в виде простой правильной дроби, согласно приложения к настоящему  распоряжению.</w:t>
      </w:r>
    </w:p>
    <w:p>
      <w:pPr>
        <w:pStyle w:val="Normal"/>
        <w:widowControl/>
        <w:ind w:left="0" w:right="0" w:firstLine="708"/>
        <w:rPr>
          <w:rFonts w:ascii="Tinos" w:hAnsi="Tinos"/>
        </w:rPr>
      </w:pPr>
      <w:r>
        <w:rPr>
          <w:rFonts w:ascii="Tinos" w:hAnsi="Tinos"/>
        </w:rPr>
      </w:r>
    </w:p>
    <w:p>
      <w:pPr>
        <w:pStyle w:val="Normal"/>
        <w:widowControl/>
        <w:numPr>
          <w:ilvl w:val="0"/>
          <w:numId w:val="0"/>
        </w:numPr>
        <w:ind w:left="720" w:right="0" w:hanging="0"/>
        <w:jc w:val="both"/>
        <w:rPr>
          <w:rFonts w:ascii="Tinos" w:hAnsi="Tinos"/>
        </w:rPr>
      </w:pPr>
      <w:r>
        <w:rPr>
          <w:rFonts w:ascii="Tinos" w:hAnsi="Tinos"/>
          <w:b w:val="false"/>
          <w:spacing w:val="-2"/>
          <w:sz w:val="28"/>
        </w:rPr>
        <w:t>2. Решение  вступает в силу со дня его официального опубликования.</w:t>
      </w:r>
    </w:p>
    <w:p>
      <w:pPr>
        <w:pStyle w:val="Normal"/>
        <w:widowControl/>
        <w:numPr>
          <w:ilvl w:val="0"/>
          <w:numId w:val="0"/>
        </w:numPr>
        <w:ind w:left="720" w:right="0" w:hanging="0"/>
        <w:jc w:val="both"/>
        <w:rPr>
          <w:rFonts w:ascii="Tinos" w:hAnsi="Tinos"/>
        </w:rPr>
      </w:pPr>
      <w:r>
        <w:rPr>
          <w:rFonts w:ascii="Tinos" w:hAnsi="Tinos"/>
          <w:b w:val="false"/>
          <w:spacing w:val="-2"/>
          <w:sz w:val="28"/>
        </w:rPr>
        <w:t>3. Разместить настоящее распоряжение  на официальном сайте администрации Антоновского муниципального образования в сети Интернет.</w:t>
      </w:r>
    </w:p>
    <w:p>
      <w:pPr>
        <w:pStyle w:val="Normal"/>
        <w:widowControl/>
        <w:ind w:left="720" w:right="0" w:hanging="360"/>
        <w:jc w:val="both"/>
        <w:rPr>
          <w:rFonts w:ascii="Tinos" w:hAnsi="Tinos"/>
        </w:rPr>
      </w:pPr>
      <w:r>
        <w:rPr>
          <w:rFonts w:ascii="Tinos" w:hAnsi="Tinos"/>
          <w:b w:val="false"/>
          <w:spacing w:val="-2"/>
          <w:sz w:val="28"/>
        </w:rPr>
        <w:t>И.о. главы по руководству деятельности</w:t>
      </w:r>
    </w:p>
    <w:p>
      <w:pPr>
        <w:pStyle w:val="Normal"/>
        <w:widowControl/>
        <w:ind w:left="720" w:right="0" w:hanging="360"/>
        <w:jc w:val="both"/>
        <w:rPr>
          <w:rFonts w:ascii="Tinos" w:hAnsi="Tinos"/>
        </w:rPr>
      </w:pPr>
      <w:r>
        <w:rPr>
          <w:rFonts w:ascii="Tinos" w:hAnsi="Tinos"/>
          <w:b w:val="false"/>
          <w:spacing w:val="-2"/>
          <w:sz w:val="28"/>
        </w:rPr>
        <w:t>Совета Антоновского МО:                                   А.В.Бекезин</w:t>
      </w:r>
    </w:p>
    <w:p>
      <w:pPr>
        <w:pStyle w:val="Normal"/>
        <w:widowControl/>
        <w:ind w:left="720" w:right="0" w:hanging="360"/>
        <w:jc w:val="both"/>
        <w:rPr>
          <w:rFonts w:ascii="Tinos" w:hAnsi="Tinos"/>
        </w:rPr>
      </w:pPr>
      <w:r>
        <w:rPr>
          <w:rFonts w:ascii="Tinos" w:hAnsi="Tinos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520" w:right="0" w:hanging="57"/>
        <w:jc w:val="left"/>
        <w:rPr>
          <w:rFonts w:ascii="Tinos" w:hAnsi="Tinos"/>
        </w:rPr>
      </w:pPr>
      <w:r>
        <w:rPr>
          <w:rFonts w:ascii="Tinos" w:hAnsi="Tinos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520" w:right="0" w:hanging="57"/>
        <w:jc w:val="left"/>
        <w:rPr/>
      </w:pPr>
      <w:r>
        <w:rPr>
          <w:rFonts w:ascii="Tinos" w:hAnsi="Tinos"/>
        </w:rPr>
        <w:t xml:space="preserve">Приложение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520" w:right="0" w:hanging="57"/>
        <w:jc w:val="left"/>
        <w:rPr/>
      </w:pPr>
      <w:r>
        <w:rPr>
          <w:rFonts w:ascii="Tinos" w:hAnsi="Tinos"/>
        </w:rPr>
        <w:t xml:space="preserve">к решению Совета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520" w:right="0" w:hanging="57"/>
        <w:jc w:val="left"/>
        <w:rPr/>
      </w:pPr>
      <w:r>
        <w:rPr>
          <w:rFonts w:ascii="Tinos" w:hAnsi="Tinos"/>
        </w:rPr>
        <w:t>Антоновского МО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520" w:right="0" w:hanging="57"/>
        <w:jc w:val="left"/>
        <w:rPr>
          <w:rFonts w:ascii="Tinos" w:hAnsi="Tinos"/>
        </w:rPr>
      </w:pPr>
      <w:r>
        <w:rPr>
          <w:rFonts w:ascii="Tinos" w:hAnsi="Tinos"/>
        </w:rPr>
        <w:t xml:space="preserve">от  </w:t>
      </w:r>
      <w:r>
        <w:rPr>
          <w:rFonts w:ascii="Tinos" w:hAnsi="Tinos"/>
        </w:rPr>
        <w:t>20.03.2026</w:t>
      </w:r>
      <w:r>
        <w:rPr>
          <w:rFonts w:ascii="Tinos" w:hAnsi="Tinos"/>
        </w:rPr>
        <w:t xml:space="preserve"> г. № </w:t>
      </w:r>
      <w:r>
        <w:rPr>
          <w:rFonts w:ascii="Tinos" w:hAnsi="Tinos"/>
        </w:rPr>
        <w:t>62-121</w:t>
      </w:r>
    </w:p>
    <w:p>
      <w:pPr>
        <w:pStyle w:val="Normal"/>
        <w:widowControl/>
        <w:ind w:left="720" w:right="0" w:hanging="360"/>
        <w:jc w:val="right"/>
        <w:rPr>
          <w:rFonts w:ascii="Tinos" w:hAnsi="Tinos"/>
        </w:rPr>
      </w:pPr>
      <w:r>
        <w:rPr>
          <w:rFonts w:ascii="Tinos" w:hAnsi="Tinos"/>
        </w:rPr>
      </w:r>
    </w:p>
    <w:p>
      <w:pPr>
        <w:pStyle w:val="Normal"/>
        <w:widowControl/>
        <w:ind w:left="720" w:right="0" w:hanging="360"/>
        <w:jc w:val="right"/>
        <w:rPr>
          <w:rFonts w:ascii="Tinos" w:hAnsi="Tinos"/>
        </w:rPr>
      </w:pPr>
      <w:r>
        <w:rPr>
          <w:rFonts w:ascii="Tinos" w:hAnsi="Tinos"/>
        </w:rPr>
      </w:r>
    </w:p>
    <w:p>
      <w:pPr>
        <w:pStyle w:val="Normal"/>
        <w:widowControl/>
        <w:ind w:left="72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rFonts w:ascii="Tinos" w:hAnsi="Tinos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 xml:space="preserve">Определение долей, выраженных в гектарах,                                                 в виде простой правильной дроби и праве общей  долевой собственности на земельный участок  из земель  сельскохозяйственного  назначения с кадастровым номером 64:13:000000:3319  ,  вид разрешенного использования- для сельскохозяйственного производства,  расположенный по адресу: </w:t>
      </w:r>
      <w:r>
        <w:rPr>
          <w:rFonts w:ascii="Tinos" w:hAnsi="Tinos"/>
          <w:color w:val="000000"/>
          <w:sz w:val="28"/>
          <w:szCs w:val="28"/>
        </w:rPr>
        <w:t>Российская Федерация, Саратовская область, Ершовский район, Антоновское МО, АО «Семено-Полтавское».</w:t>
      </w:r>
    </w:p>
    <w:p>
      <w:pPr>
        <w:pStyle w:val="Normal"/>
        <w:widowControl/>
        <w:ind w:left="720" w:right="0" w:hanging="360"/>
        <w:jc w:val="both"/>
        <w:rPr>
          <w:rFonts w:ascii="Tinos" w:hAnsi="Tinos"/>
          <w:color w:val="000000"/>
          <w:sz w:val="28"/>
        </w:rPr>
      </w:pPr>
      <w:r>
        <w:rPr>
          <w:rFonts w:ascii="Tinos" w:hAnsi="Tinos"/>
          <w:color w:val="000000"/>
          <w:sz w:val="28"/>
        </w:rPr>
      </w:r>
    </w:p>
    <w:p>
      <w:pPr>
        <w:pStyle w:val="Normal"/>
        <w:widowControl/>
        <w:ind w:left="720" w:right="0" w:hanging="360"/>
        <w:jc w:val="both"/>
        <w:rPr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 xml:space="preserve">               </w:t>
      </w:r>
      <w:r>
        <w:rPr>
          <w:rFonts w:ascii="Tinos" w:hAnsi="Tinos"/>
          <w:color w:val="000000"/>
          <w:sz w:val="28"/>
          <w:szCs w:val="28"/>
        </w:rPr>
        <w:t>Земельная доля выражается в виде дроби, где числителем является площадь  земельной доли в гектарах, умноженная на 100, а знаменателем является площадь земельного участка в гектарах, умноженная на 100, а именно:</w:t>
      </w:r>
    </w:p>
    <w:p>
      <w:pPr>
        <w:pStyle w:val="Normal"/>
        <w:widowControl/>
        <w:ind w:left="720" w:right="0" w:hanging="360"/>
        <w:jc w:val="both"/>
        <w:rPr>
          <w:rFonts w:ascii="Tinos" w:hAnsi="Tinos"/>
          <w:color w:val="000000"/>
          <w:sz w:val="28"/>
        </w:rPr>
      </w:pPr>
      <w:r>
        <w:rPr>
          <w:rFonts w:ascii="Tinos" w:hAnsi="Tinos"/>
          <w:color w:val="000000"/>
          <w:sz w:val="28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38"/>
        <w:gridCol w:w="2098"/>
        <w:gridCol w:w="3118"/>
      </w:tblGrid>
      <w:tr>
        <w:trPr/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Реквизиты документа , удостоверяющих права на земельные доли; доля в праве; номер и дата государственной регистрации права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Начальная запись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Запись в виде простой правильной дроби</w:t>
            </w:r>
          </w:p>
        </w:tc>
      </w:tr>
      <w:tr>
        <w:trPr/>
        <w:tc>
          <w:tcPr>
            <w:tcW w:w="4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64:13:000000:3319-64/085/2024-45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14,5 га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1/330</w:t>
            </w:r>
          </w:p>
        </w:tc>
      </w:tr>
    </w:tbl>
    <w:p>
      <w:pPr>
        <w:pStyle w:val="Normal"/>
        <w:widowControl/>
        <w:ind w:left="720" w:right="0" w:hanging="360"/>
        <w:jc w:val="both"/>
        <w:rPr>
          <w:rFonts w:ascii="Tinos" w:hAnsi="Tinos"/>
          <w:color w:val="000000"/>
          <w:sz w:val="28"/>
        </w:rPr>
      </w:pPr>
      <w:r>
        <w:rPr>
          <w:rFonts w:ascii="Tinos" w:hAnsi="Tinos"/>
          <w:color w:val="000000"/>
          <w:sz w:val="28"/>
        </w:rPr>
      </w:r>
    </w:p>
    <w:sectPr>
      <w:type w:val="nextPage"/>
      <w:pgSz w:w="11906" w:h="16838"/>
      <w:pgMar w:left="1701" w:right="851" w:gutter="0" w:header="0" w:top="851" w:footer="0" w:bottom="851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XO Thames">
    <w:charset w:val="01"/>
    <w:family w:val="roman"/>
    <w:pitch w:val="default"/>
  </w:font>
  <w:font w:name="Courier New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lineRule="auto" w:line="240" w:before="0" w:after="0"/>
      <w:ind w:left="0" w:right="0" w:firstLine="720"/>
      <w:jc w:val="both"/>
    </w:pPr>
    <w:rPr>
      <w:rFonts w:ascii="Arial" w:hAnsi="Arial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">
    <w:name w:val="Heading 1"/>
    <w:basedOn w:val="Normal"/>
    <w:uiPriority w:val="9"/>
    <w:qFormat/>
    <w:pPr>
      <w:widowControl/>
      <w:spacing w:beforeAutospacing="1" w:afterAutospacing="1"/>
      <w:ind w:left="0" w:right="0" w:hanging="0"/>
      <w:jc w:val="left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Hl">
    <w:name w:val="hl"/>
    <w:basedOn w:val="DefaultParagraphFont"/>
    <w:link w:val="Hl1"/>
    <w:qFormat/>
    <w:rPr/>
  </w:style>
  <w:style w:type="character" w:styleId="Style9">
    <w:name w:val="Содержимое таблицы"/>
    <w:link w:val="Style19"/>
    <w:qFormat/>
    <w:rPr/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HTMLPreformatted">
    <w:name w:val="HTML Preformatted"/>
    <w:link w:val="HTMLPreformatted1"/>
    <w:qFormat/>
    <w:rPr>
      <w:rFonts w:ascii="Courier New" w:hAnsi="Courier New"/>
    </w:rPr>
  </w:style>
  <w:style w:type="character" w:styleId="Textbody">
    <w:name w:val="Text body"/>
    <w:qFormat/>
    <w:rPr/>
  </w:style>
  <w:style w:type="character" w:styleId="WW-Absatz-Standardschriftart">
    <w:name w:val="WW-Absatz-Standardschriftart"/>
    <w:link w:val="WW-Absatz-Standardschriftart1"/>
    <w:qFormat/>
    <w:rPr/>
  </w:style>
  <w:style w:type="character" w:styleId="Formattext">
    <w:name w:val="formattext"/>
    <w:link w:val="Formattext1"/>
    <w:qFormat/>
    <w:rPr>
      <w:rFonts w:ascii="Times New Roman" w:hAnsi="Times New Roman"/>
      <w:sz w:val="24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ConsPlusNormal">
    <w:name w:val="ConsPlusNormal"/>
    <w:link w:val="ConsPlusNormal1"/>
    <w:qFormat/>
    <w:rPr>
      <w:rFonts w:ascii="Arial" w:hAnsi="Arial"/>
    </w:rPr>
  </w:style>
  <w:style w:type="character" w:styleId="Textbodyindent">
    <w:name w:val="Text body indent"/>
    <w:qFormat/>
    <w:rPr>
      <w:b/>
      <w:color w:val="262626"/>
      <w:spacing w:val="-1"/>
      <w:sz w:val="28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Heading1">
    <w:name w:val="Heading 1"/>
    <w:qFormat/>
    <w:rPr>
      <w:rFonts w:ascii="Times New Roman" w:hAnsi="Times New Roman"/>
      <w:b/>
      <w:sz w:val="48"/>
    </w:rPr>
  </w:style>
  <w:style w:type="character" w:styleId="-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List">
    <w:name w:val="List"/>
    <w:basedOn w:val="Textbody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ListParagraph">
    <w:name w:val="List Paragraph"/>
    <w:link w:val="ListParagraph1"/>
    <w:qFormat/>
    <w:rPr/>
  </w:style>
  <w:style w:type="character" w:styleId="NoSpacing">
    <w:name w:val="No Spacing"/>
    <w:link w:val="NoSpacing1"/>
    <w:qFormat/>
    <w:rPr>
      <w:rFonts w:ascii="Calibri" w:hAnsi="Calibri"/>
      <w:sz w:val="22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Style10">
    <w:name w:val="Заголовок"/>
    <w:link w:val="Style14"/>
    <w:qFormat/>
    <w:rPr>
      <w:rFonts w:ascii="Arial" w:hAnsi="Arial"/>
      <w:sz w:val="28"/>
    </w:rPr>
  </w:style>
  <w:style w:type="character" w:styleId="11">
    <w:name w:val="Указатель1"/>
    <w:link w:val="15"/>
    <w:qFormat/>
    <w:rPr/>
  </w:style>
  <w:style w:type="character" w:styleId="12">
    <w:name w:val="Основной шрифт абзаца1"/>
    <w:link w:val="16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tyle11">
    <w:name w:val="Гипертекстовая ссылка"/>
    <w:link w:val="Style22"/>
    <w:qFormat/>
    <w:rPr>
      <w:color w:val="106BBE"/>
    </w:rPr>
  </w:style>
  <w:style w:type="character" w:styleId="ConsPlusTitle">
    <w:name w:val="ConsPlusTitle"/>
    <w:link w:val="ConsPlusTitle1"/>
    <w:qFormat/>
    <w:rPr>
      <w:b/>
      <w:sz w:val="24"/>
    </w:rPr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Style12">
    <w:name w:val="Прижатый влево"/>
    <w:link w:val="Style24"/>
    <w:qFormat/>
    <w:rPr>
      <w:sz w:val="24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Heading2">
    <w:name w:val="Heading 2"/>
    <w:qFormat/>
    <w:rPr>
      <w:rFonts w:ascii="XO Thames" w:hAnsi="XO Thames"/>
      <w:b/>
      <w:sz w:val="28"/>
    </w:rPr>
  </w:style>
  <w:style w:type="character" w:styleId="Absatz-Standardschriftart">
    <w:name w:val="Absatz-Standardschriftart"/>
    <w:link w:val="Absatz-Standardschriftart1"/>
    <w:qFormat/>
    <w:rPr/>
  </w:style>
  <w:style w:type="character" w:styleId="13">
    <w:name w:val="Название1"/>
    <w:link w:val="17"/>
    <w:qFormat/>
    <w:rPr>
      <w:i/>
      <w:sz w:val="24"/>
    </w:rPr>
  </w:style>
  <w:style w:type="character" w:styleId="Style13">
    <w:name w:val="Заголовок таблицы"/>
    <w:basedOn w:val="Style9"/>
    <w:link w:val="Style26"/>
    <w:qFormat/>
    <w:rPr>
      <w:b/>
    </w:rPr>
  </w:style>
  <w:style w:type="paragraph" w:styleId="Style14">
    <w:name w:val="Заголовок"/>
    <w:basedOn w:val="Normal"/>
    <w:next w:val="Style15"/>
    <w:link w:val="Style10"/>
    <w:qFormat/>
    <w:pPr>
      <w:keepNext w:val="true"/>
      <w:widowControl/>
      <w:spacing w:before="240" w:after="120"/>
    </w:pPr>
    <w:rPr>
      <w:rFonts w:ascii="Arial" w:hAnsi="Arial"/>
      <w:sz w:val="28"/>
    </w:rPr>
  </w:style>
  <w:style w:type="paragraph" w:styleId="Style15">
    <w:name w:val="Body Text"/>
    <w:basedOn w:val="Normal"/>
    <w:pPr>
      <w:widowControl/>
      <w:spacing w:before="0" w:after="120"/>
    </w:pPr>
    <w:rPr/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l1">
    <w:name w:val="hl"/>
    <w:basedOn w:val="DefaultParagraphFont1"/>
    <w:link w:val="Hl"/>
    <w:qFormat/>
    <w:pPr/>
    <w:rPr/>
  </w:style>
  <w:style w:type="paragraph" w:styleId="Style19">
    <w:name w:val="Содержимое таблицы"/>
    <w:basedOn w:val="Normal"/>
    <w:link w:val="Style9"/>
    <w:qFormat/>
    <w:pPr/>
    <w:rPr/>
  </w:style>
  <w:style w:type="paragraph" w:styleId="Endnote1">
    <w:name w:val="Endnote"/>
    <w:link w:val="Endnote"/>
    <w:qFormat/>
    <w:pPr>
      <w:widowControl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HTMLPreformatted1">
    <w:name w:val="HTML Preformatted"/>
    <w:basedOn w:val="Normal"/>
    <w:link w:val="HTMLPreformatted"/>
    <w:qFormat/>
    <w:pPr>
      <w:widowControl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ind w:left="0" w:right="0" w:hanging="0"/>
      <w:jc w:val="left"/>
    </w:pPr>
    <w:rPr>
      <w:rFonts w:ascii="Courier New" w:hAnsi="Courier New"/>
    </w:rPr>
  </w:style>
  <w:style w:type="paragraph" w:styleId="WW-Absatz-Standardschriftart1">
    <w:name w:val="WW-Absatz-Standardschriftart"/>
    <w:link w:val="WW-Absatz-Standardschriftart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Formattext1">
    <w:name w:val="formattext"/>
    <w:basedOn w:val="Normal"/>
    <w:link w:val="Formattext"/>
    <w:qFormat/>
    <w:pPr>
      <w:widowControl/>
      <w:spacing w:beforeAutospacing="1" w:afterAutospacing="1"/>
      <w:ind w:left="0" w:right="0" w:hanging="0"/>
      <w:jc w:val="left"/>
    </w:pPr>
    <w:rPr>
      <w:rFonts w:ascii="Times New Roman" w:hAnsi="Times New Roman"/>
      <w:sz w:val="24"/>
    </w:rPr>
  </w:style>
  <w:style w:type="paragraph" w:styleId="31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rmal1">
    <w:name w:val="ConsPlusNormal"/>
    <w:link w:val="ConsPlusNormal"/>
    <w:qFormat/>
    <w:pPr>
      <w:widowControl w:val="false"/>
      <w:suppressAutoHyphens w:val="true"/>
      <w:bidi w:val="0"/>
      <w:spacing w:lineRule="auto" w:line="240" w:before="0" w:after="0"/>
      <w:ind w:left="0" w:right="0" w:firstLine="720"/>
      <w:jc w:val="left"/>
    </w:pPr>
    <w:rPr>
      <w:rFonts w:ascii="Arial" w:hAnsi="Arial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0">
    <w:name w:val="Body Text Indent"/>
    <w:basedOn w:val="Normal"/>
    <w:pPr>
      <w:widowControl/>
      <w:spacing w:lineRule="exact" w:line="322"/>
      <w:ind w:left="250" w:right="0" w:firstLine="1195"/>
      <w:jc w:val="center"/>
    </w:pPr>
    <w:rPr>
      <w:b/>
      <w:color w:val="262626"/>
      <w:spacing w:val="-1"/>
      <w:sz w:val="28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"/>
    <w:link w:val="Footnote"/>
    <w:qFormat/>
    <w:pPr>
      <w:widowControl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4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21">
    <w:name w:val="Колонтитул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"/>
    <w:link w:val="DefaultParagraphFont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ListParagraph1">
    <w:name w:val="List Paragraph"/>
    <w:basedOn w:val="Normal"/>
    <w:link w:val="ListParagraph"/>
    <w:qFormat/>
    <w:pPr>
      <w:widowControl/>
      <w:ind w:left="708" w:right="0" w:firstLine="720"/>
    </w:pPr>
    <w:rPr/>
  </w:style>
  <w:style w:type="paragraph" w:styleId="NoSpacing1">
    <w:name w:val="No Spacing"/>
    <w:link w:val="NoSpacing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5">
    <w:name w:val="Указатель1"/>
    <w:basedOn w:val="Normal"/>
    <w:link w:val="11"/>
    <w:qFormat/>
    <w:pPr/>
    <w:rPr/>
  </w:style>
  <w:style w:type="paragraph" w:styleId="16">
    <w:name w:val="Основной шрифт абзаца1"/>
    <w:link w:val="12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2">
    <w:name w:val="Гипертекстовая ссылка"/>
    <w:link w:val="Style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106BBE"/>
      <w:spacing w:val="0"/>
      <w:kern w:val="0"/>
      <w:sz w:val="20"/>
      <w:szCs w:val="20"/>
      <w:lang w:val="ru-RU" w:eastAsia="zh-CN" w:bidi="hi-IN"/>
    </w:rPr>
  </w:style>
  <w:style w:type="paragraph" w:styleId="ConsPlusTitle1">
    <w:name w:val="ConsPlusTitle"/>
    <w:link w:val="ConsPlusTitle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Style23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24">
    <w:name w:val="Прижатый влево"/>
    <w:basedOn w:val="Normal"/>
    <w:next w:val="Normal"/>
    <w:link w:val="Style12"/>
    <w:qFormat/>
    <w:pPr>
      <w:widowControl/>
      <w:ind w:left="0" w:right="0" w:hanging="0"/>
      <w:jc w:val="left"/>
    </w:pPr>
    <w:rPr>
      <w:sz w:val="24"/>
    </w:rPr>
  </w:style>
  <w:style w:type="paragraph" w:styleId="Style25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Absatz-Standardschriftart1">
    <w:name w:val="Absatz-Standardschriftart"/>
    <w:link w:val="Absatz-Standardschriftart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7">
    <w:name w:val="Название1"/>
    <w:basedOn w:val="Normal"/>
    <w:link w:val="13"/>
    <w:qFormat/>
    <w:pPr>
      <w:widowControl/>
      <w:spacing w:before="120" w:after="120"/>
    </w:pPr>
    <w:rPr>
      <w:i/>
      <w:sz w:val="24"/>
    </w:rPr>
  </w:style>
  <w:style w:type="paragraph" w:styleId="Style26">
    <w:name w:val="Заголовок таблицы"/>
    <w:basedOn w:val="Style19"/>
    <w:link w:val="Style13"/>
    <w:qFormat/>
    <w:pPr>
      <w:widowControl/>
      <w:jc w:val="center"/>
    </w:pPr>
    <w:rPr>
      <w:b/>
    </w:rPr>
  </w:style>
  <w:style w:type="paragraph" w:styleId="42">
    <w:name w:val="Основной текст (4)"/>
    <w:basedOn w:val="Normal"/>
    <w:qFormat/>
    <w:pPr>
      <w:widowControl w:val="false"/>
      <w:shd w:val="clear" w:fill="FFFFFF"/>
      <w:spacing w:lineRule="atLeast" w:line="0" w:before="720" w:after="0"/>
      <w:jc w:val="both"/>
    </w:pPr>
    <w:rPr>
      <w:rFonts w:ascii="Times New Roman" w:hAnsi="Times New Roman" w:eastAsia="Times New Roman" w:cs="Times New Roman"/>
      <w:b/>
      <w:bCs/>
    </w:rPr>
  </w:style>
  <w:style w:type="table" w:styleId="Style_43">
    <w:name w:val="Table Grid"/>
    <w:basedOn w:val="Style_44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44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Application>LibreOffice/7.5.6.2$Linux_X86_64 LibreOffice_project/50$Build-2</Application>
  <AppVersion>15.0000</AppVersion>
  <Pages>2</Pages>
  <Words>344</Words>
  <Characters>2575</Characters>
  <CharactersWithSpaces>3121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2010-09-16T10:00:00Z</dcterms:created>
  <dc:creator/>
  <dc:description/>
  <dc:language>ru-RU</dc:language>
  <cp:lastModifiedBy/>
  <cp:lastPrinted>2026-03-19T14:58:43Z</cp:lastPrinted>
  <dcterms:modified xsi:type="dcterms:W3CDTF">2026-03-19T15:02:52Z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